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b/>
          <w:sz w:val="24"/>
        </w:rPr>
      </w:pPr>
      <w:r>
        <w:rPr>
          <w:rFonts w:hint="eastAsia"/>
          <w:b/>
          <w:sz w:val="24"/>
        </w:rPr>
        <w:t xml:space="preserve"> 人神经母细胞瘤细胞</w:t>
      </w:r>
    </w:p>
    <w:p>
      <w:pPr>
        <w:jc w:val="right"/>
        <w:rPr>
          <w:rFonts w:hint="eastAsia"/>
          <w:b/>
          <w:sz w:val="24"/>
        </w:rPr>
      </w:pPr>
      <w:bookmarkStart w:id="2" w:name="_GoBack"/>
      <w:r>
        <w:rPr>
          <w:rFonts w:hint="eastAsia"/>
          <w:b/>
          <w:sz w:val="24"/>
        </w:rPr>
        <w:t xml:space="preserve">SK-N-BE(2) </w:t>
      </w:r>
    </w:p>
    <w:bookmarkEnd w:id="2"/>
    <w:p>
      <w:pPr>
        <w:jc w:val="left"/>
        <w:rPr>
          <w:rFonts w:hint="eastAsia"/>
          <w:b/>
          <w:sz w:val="24"/>
        </w:rPr>
      </w:pPr>
      <w:r>
        <w:rPr>
          <w:rFonts w:hint="eastAsia"/>
          <w:b/>
          <w:sz w:val="24"/>
        </w:rPr>
        <w:t>细胞介绍</w:t>
      </w:r>
    </w:p>
    <w:p>
      <w:pPr>
        <w:jc w:val="left"/>
        <w:rPr>
          <w:rFonts w:hint="eastAsia" w:cs="Calibri"/>
          <w:sz w:val="24"/>
        </w:rPr>
      </w:pPr>
      <w:r>
        <w:rPr>
          <w:rFonts w:hint="eastAsia" w:cs="Calibri"/>
          <w:sz w:val="24"/>
        </w:rPr>
        <w:t>1972年11月从一们多次化疗及放疗的扩散性神经母细胞瘤患儿骨髓穿刺物中建立了SK-N-BE(2)神经母细胞瘤细胞株。 该细胞显示中等水平的多巴胺-β-羟基酶活性。 有报道称SK-N-BE(2)细胞的饱和浓度超过1x10^6细胞/平方厘米。细胞形态多样，有的有长突触，有的呈上皮细胞样。 细胞会聚集，形成团块并浮起。</w:t>
      </w:r>
    </w:p>
    <w:p>
      <w:pPr>
        <w:jc w:val="left"/>
        <w:rPr>
          <w:rFonts w:hint="eastAsia" w:cs="Calibri"/>
          <w:sz w:val="24"/>
        </w:rPr>
      </w:pPr>
    </w:p>
    <w:p>
      <w:pPr>
        <w:jc w:val="left"/>
        <w:rPr>
          <w:rFonts w:hint="eastAsia" w:cs="Calibri"/>
          <w:sz w:val="24"/>
        </w:rPr>
      </w:pPr>
    </w:p>
    <w:p>
      <w:pPr>
        <w:jc w:val="left"/>
        <w:rPr>
          <w:rFonts w:hint="eastAsia"/>
          <w:b/>
          <w:sz w:val="24"/>
        </w:rPr>
      </w:pPr>
      <w:r>
        <w:rPr>
          <w:rFonts w:hint="eastAsia"/>
          <w:b/>
          <w:sz w:val="24"/>
        </w:rPr>
        <w:t>细胞特性</w:t>
      </w:r>
    </w:p>
    <w:p>
      <w:pPr>
        <w:pStyle w:val="9"/>
        <w:numPr>
          <w:ilvl w:val="0"/>
          <w:numId w:val="1"/>
        </w:numPr>
        <w:ind w:firstLineChars="0"/>
        <w:jc w:val="left"/>
        <w:rPr>
          <w:sz w:val="24"/>
        </w:rPr>
      </w:pPr>
      <w:r>
        <w:rPr>
          <w:rFonts w:hint="eastAsia"/>
          <w:b/>
          <w:sz w:val="24"/>
        </w:rPr>
        <w:t>来源：</w:t>
      </w:r>
      <w:r>
        <w:rPr>
          <w:rFonts w:hint="eastAsia"/>
          <w:sz w:val="24"/>
        </w:rPr>
        <w:t>脑,神经母细胞瘤,骨髓转移灶</w:t>
      </w:r>
    </w:p>
    <w:p>
      <w:pPr>
        <w:pStyle w:val="9"/>
        <w:numPr>
          <w:ilvl w:val="0"/>
          <w:numId w:val="1"/>
        </w:numPr>
        <w:ind w:firstLineChars="0"/>
        <w:jc w:val="left"/>
        <w:rPr>
          <w:sz w:val="24"/>
        </w:rPr>
      </w:pPr>
      <w:r>
        <w:rPr>
          <w:rFonts w:hint="eastAsia"/>
          <w:b/>
          <w:sz w:val="24"/>
        </w:rPr>
        <w:t>形态</w:t>
      </w:r>
      <w:r>
        <w:rPr>
          <w:b/>
          <w:sz w:val="24"/>
        </w:rPr>
        <w:t>：</w:t>
      </w:r>
      <w:r>
        <w:rPr>
          <w:rFonts w:hint="eastAsia"/>
          <w:sz w:val="24"/>
        </w:rPr>
        <w:t>神经母细胞 半贴壁（贴壁和悬浮同时存在）生长</w:t>
      </w:r>
    </w:p>
    <w:p>
      <w:pPr>
        <w:pStyle w:val="9"/>
        <w:numPr>
          <w:ilvl w:val="0"/>
          <w:numId w:val="1"/>
        </w:numPr>
        <w:ind w:firstLineChars="0"/>
        <w:jc w:val="left"/>
        <w:rPr>
          <w:sz w:val="24"/>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superscript"/>
          <w:lang w:val="en-US" w:eastAsia="zh-CN"/>
        </w:rPr>
        <w:t xml:space="preserve"> </w:t>
      </w:r>
      <w:r>
        <w:rPr>
          <w:rFonts w:hint="eastAsia"/>
          <w:sz w:val="24"/>
          <w:vertAlign w:val="baseline"/>
        </w:rPr>
        <w:t xml:space="preserve"> </w:t>
      </w:r>
      <w:r>
        <w:rPr>
          <w:rFonts w:hint="eastAsia"/>
          <w:sz w:val="24"/>
          <w:vertAlign w:val="baseline"/>
          <w:lang w:val="en-US" w:eastAsia="zh-CN"/>
        </w:rPr>
        <w:t>细胞数</w:t>
      </w:r>
    </w:p>
    <w:p>
      <w:pPr>
        <w:pStyle w:val="10"/>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2"/>
        </w:numPr>
        <w:jc w:val="left"/>
        <w:rPr>
          <w:rFonts w:hint="eastAsia"/>
          <w:b/>
          <w:sz w:val="24"/>
        </w:rPr>
      </w:pPr>
      <w:r>
        <w:rPr>
          <w:rFonts w:hint="eastAsia"/>
          <w:b/>
          <w:sz w:val="24"/>
          <w:lang w:val="en-US" w:eastAsia="zh-CN"/>
        </w:rPr>
        <w:t xml:space="preserve"> </w:t>
      </w:r>
      <w:r>
        <w:rPr>
          <w:rFonts w:hint="eastAsia"/>
          <w:b/>
          <w:sz w:val="24"/>
        </w:rPr>
        <w:t>用途：</w:t>
      </w:r>
      <w:r>
        <w:rPr>
          <w:rFonts w:hint="eastAsia"/>
          <w:sz w:val="24"/>
        </w:rPr>
        <w:t>仅供科研使用。</w:t>
      </w:r>
    </w:p>
    <w:p>
      <w:pPr>
        <w:rPr>
          <w:rFonts w:hint="eastAsia"/>
          <w:b/>
          <w:sz w:val="24"/>
        </w:rPr>
      </w:pP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9"/>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rPr>
          <w:rFonts w:hint="eastAsia" w:cs="Calibri"/>
          <w:i w:val="0"/>
          <w:iCs w:val="0"/>
          <w:color w:val="000000"/>
          <w:sz w:val="24"/>
        </w:rPr>
      </w:pPr>
      <w:r>
        <w:rPr>
          <w:rFonts w:hint="eastAsia" w:cs="Calibri"/>
          <w:i w:val="0"/>
          <w:iCs w:val="0"/>
          <w:sz w:val="24"/>
          <w:lang w:val="en-US" w:eastAsia="zh-CN"/>
        </w:rPr>
        <w:t>3）</w:t>
      </w:r>
      <w:r>
        <w:rPr>
          <w:rFonts w:hint="eastAsia" w:cs="Calibri"/>
          <w:i w:val="0"/>
          <w:iCs w:val="0"/>
          <w:sz w:val="24"/>
        </w:rPr>
        <w:t>半贴细胞和贴壁不牢（悬浮）细胞：T25瓶置于37℃培养箱中约2-3h，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rFonts w:hint="eastAsia"/>
          <w:color w:val="000000"/>
          <w:sz w:val="24"/>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wordWrap w:val="0"/>
        <w:jc w:val="right"/>
        <w:rPr>
          <w:b/>
          <w:sz w:val="24"/>
        </w:rPr>
      </w:pPr>
      <w:r>
        <w:rPr>
          <w:rFonts w:hint="eastAsia"/>
          <w:b/>
          <w:sz w:val="24"/>
        </w:rPr>
        <w:t xml:space="preserve">                       </w:t>
      </w: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9"/>
        <w:numPr>
          <w:ilvl w:val="0"/>
          <w:numId w:val="3"/>
        </w:numPr>
        <w:ind w:firstLineChars="0"/>
        <w:jc w:val="left"/>
        <w:rPr>
          <w:rFonts w:hint="eastAsia"/>
          <w:sz w:val="24"/>
        </w:rPr>
      </w:pPr>
      <w:r>
        <w:rPr>
          <w:rFonts w:hint="eastAsia"/>
          <w:sz w:val="24"/>
        </w:rPr>
        <w:t>准备DMEM/F-12培养基；</w:t>
      </w:r>
      <w:r>
        <w:rPr>
          <w:rFonts w:hint="eastAsia"/>
          <w:sz w:val="24"/>
          <w:lang w:val="en-US" w:eastAsia="zh-CN"/>
        </w:rPr>
        <w:t>特级</w:t>
      </w:r>
      <w:r>
        <w:rPr>
          <w:rFonts w:hint="eastAsia"/>
          <w:sz w:val="24"/>
        </w:rPr>
        <w:t>胎牛血清，10%；双抗1%。</w:t>
      </w:r>
    </w:p>
    <w:p>
      <w:pPr>
        <w:pStyle w:val="9"/>
        <w:numPr>
          <w:numId w:val="0"/>
        </w:numPr>
        <w:ind w:leftChars="0"/>
        <w:jc w:val="left"/>
        <w:rPr>
          <w:rFonts w:hint="eastAsia"/>
          <w:b/>
          <w:bCs/>
          <w:sz w:val="24"/>
          <w:highlight w:val="yellow"/>
          <w:u w:val="single"/>
        </w:rPr>
      </w:pPr>
      <w:r>
        <w:rPr>
          <w:rFonts w:hint="eastAsia"/>
          <w:b/>
          <w:bCs/>
          <w:sz w:val="24"/>
          <w:highlight w:val="yellow"/>
          <w:u w:val="single"/>
        </w:rPr>
        <w:t>备注：该细胞细胞形态多样，有的有长突触，有的呈上皮细胞样。 细胞会聚集，形成团块并浮起。为贴壁和悬浮同时存在，换液和传代时需要分别回收贴壁和悬浮细胞，否则细胞会越来越少。</w:t>
      </w:r>
    </w:p>
    <w:p>
      <w:pPr>
        <w:pStyle w:val="9"/>
        <w:numPr>
          <w:ilvl w:val="0"/>
          <w:numId w:val="3"/>
        </w:numPr>
        <w:ind w:firstLineChars="0"/>
        <w:jc w:val="left"/>
        <w:rPr>
          <w:rFonts w:hint="eastAsia"/>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9"/>
        <w:numPr>
          <w:ilvl w:val="0"/>
          <w:numId w:val="3"/>
        </w:numPr>
        <w:ind w:firstLineChars="0"/>
        <w:jc w:val="left"/>
        <w:rPr>
          <w:rFonts w:hint="eastAsia"/>
          <w:sz w:val="24"/>
        </w:rPr>
      </w:pP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10"/>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4"/>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10"/>
        <w:numPr>
          <w:ilvl w:val="0"/>
          <w:numId w:val="4"/>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numPr>
          <w:ilvl w:val="0"/>
          <w:numId w:val="0"/>
        </w:numPr>
        <w:ind w:left="29" w:leftChars="14" w:firstLine="0" w:firstLineChars="0"/>
        <w:rPr>
          <w:rFonts w:hint="eastAsia"/>
          <w:kern w:val="2"/>
          <w:sz w:val="24"/>
          <w:szCs w:val="24"/>
          <w:lang w:val="en-US" w:eastAsia="zh-CN" w:bidi="ar-SA"/>
        </w:rPr>
      </w:pPr>
      <w:r>
        <w:rPr>
          <w:rFonts w:hint="eastAsia"/>
          <w:kern w:val="2"/>
          <w:sz w:val="24"/>
          <w:szCs w:val="24"/>
          <w:lang w:val="en-US" w:eastAsia="zh-CN" w:bidi="ar-SA"/>
        </w:rPr>
        <w:t>该细胞轻微贴壁和悬浮培养的细胞，传代可以参考以下方法：</w:t>
      </w:r>
    </w:p>
    <w:p>
      <w:pPr>
        <w:numPr>
          <w:ilvl w:val="0"/>
          <w:numId w:val="0"/>
        </w:numPr>
        <w:ind w:left="29" w:leftChars="14" w:firstLine="0" w:firstLineChars="0"/>
        <w:rPr>
          <w:rFonts w:hint="eastAsia"/>
          <w:kern w:val="2"/>
          <w:sz w:val="24"/>
          <w:szCs w:val="24"/>
          <w:lang w:val="en-US" w:eastAsia="zh-CN" w:bidi="ar-SA"/>
        </w:rPr>
      </w:pPr>
      <w:r>
        <w:rPr>
          <w:rFonts w:hint="eastAsia"/>
          <w:kern w:val="2"/>
          <w:sz w:val="24"/>
          <w:szCs w:val="24"/>
          <w:lang w:val="en-US" w:eastAsia="zh-CN" w:bidi="ar-SA"/>
        </w:rPr>
        <w:t>1. 收集：将培养瓶中的悬浮的细胞收集到离心管中。用不含钙、镁离子的PBS润洗细胞1-2次。由于细胞贴壁不牢PBS润洗后细胞会脱落所以PBS也要回收到离心管中。</w:t>
      </w:r>
    </w:p>
    <w:p>
      <w:pPr>
        <w:numPr>
          <w:ilvl w:val="0"/>
          <w:numId w:val="0"/>
        </w:numPr>
        <w:ind w:left="29" w:leftChars="14" w:firstLine="0" w:firstLineChars="0"/>
        <w:rPr>
          <w:rFonts w:hint="eastAsia"/>
          <w:kern w:val="2"/>
          <w:sz w:val="24"/>
          <w:szCs w:val="24"/>
          <w:lang w:val="en-US" w:eastAsia="zh-CN" w:bidi="ar-SA"/>
        </w:rPr>
      </w:pPr>
      <w:r>
        <w:rPr>
          <w:rFonts w:hint="eastAsia"/>
          <w:kern w:val="2"/>
          <w:sz w:val="24"/>
          <w:szCs w:val="24"/>
          <w:lang w:val="en-US" w:eastAsia="zh-CN" w:bidi="ar-SA"/>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3-4ml含10%FBS的培养基来终止消化。</w:t>
      </w:r>
    </w:p>
    <w:p>
      <w:pPr>
        <w:numPr>
          <w:ilvl w:val="0"/>
          <w:numId w:val="0"/>
        </w:numPr>
        <w:ind w:left="29" w:leftChars="14" w:firstLine="0" w:firstLineChars="0"/>
        <w:rPr>
          <w:rFonts w:hint="eastAsia"/>
          <w:kern w:val="2"/>
          <w:sz w:val="24"/>
          <w:szCs w:val="24"/>
          <w:lang w:val="en-US" w:eastAsia="zh-CN" w:bidi="ar-SA"/>
        </w:rPr>
      </w:pPr>
      <w:r>
        <w:rPr>
          <w:rFonts w:hint="eastAsia"/>
          <w:kern w:val="2"/>
          <w:sz w:val="24"/>
          <w:szCs w:val="24"/>
          <w:lang w:val="en-US" w:eastAsia="zh-CN" w:bidi="ar-SA"/>
        </w:rPr>
        <w:t>3. 将收集到的悬浮细胞、pbs清洗液中的细胞和消化下来的贴壁细胞以1000rpml离心5min，弃去上清，补加1-2mL培养液后重悬混匀后将细胞悬液按1：2的比例分到新T25瓶中，添加6-8ml按照说明书要求配置的新的完全培养基以保持细胞的生长活力，后续传代根据实际情况按1:2~1:5的比例进行。</w:t>
      </w:r>
    </w:p>
    <w:p>
      <w:pPr>
        <w:numPr>
          <w:ilvl w:val="0"/>
          <w:numId w:val="0"/>
        </w:numPr>
        <w:ind w:left="29" w:leftChars="14" w:firstLine="0" w:firstLineChars="0"/>
        <w:rPr>
          <w:rFonts w:hint="eastAsia"/>
          <w:kern w:val="2"/>
          <w:sz w:val="24"/>
          <w:szCs w:val="24"/>
          <w:lang w:val="en-US" w:eastAsia="zh-CN" w:bidi="ar-SA"/>
        </w:rPr>
      </w:pPr>
      <w:r>
        <w:rPr>
          <w:rFonts w:hint="eastAsia"/>
          <w:kern w:val="2"/>
          <w:sz w:val="24"/>
          <w:szCs w:val="24"/>
          <w:lang w:val="en-US" w:eastAsia="zh-CN" w:bidi="ar-SA"/>
        </w:rPr>
        <w:t>使用。</w:t>
      </w:r>
    </w:p>
    <w:p>
      <w:pPr>
        <w:numPr>
          <w:ilvl w:val="0"/>
          <w:numId w:val="0"/>
        </w:numPr>
        <w:ind w:left="29" w:leftChars="14" w:firstLine="0" w:firstLineChars="0"/>
        <w:rPr>
          <w:sz w:val="24"/>
          <w:szCs w:val="24"/>
        </w:rPr>
      </w:pPr>
      <w:r>
        <w:rPr>
          <w:rFonts w:hint="eastAsia"/>
          <w:b/>
          <w:color w:val="000000"/>
          <w:kern w:val="2"/>
          <w:sz w:val="24"/>
          <w:szCs w:val="24"/>
          <w:lang w:val="en-US" w:eastAsia="zh-CN" w:bidi="ar-SA"/>
        </w:rPr>
        <w:t xml:space="preserve">3）细胞冻存: </w:t>
      </w:r>
      <w:r>
        <w:rPr>
          <w:rFonts w:hint="eastAsia"/>
          <w:sz w:val="24"/>
          <w:szCs w:val="24"/>
        </w:rPr>
        <w:t>收到细胞后建议在培养前3代时冻存一批细胞种子以备后续实验使用。下面T25瓶为例；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0"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0"/>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1" w:name="_Hlk55846335"/>
      <w:r>
        <w:rPr>
          <w:rFonts w:hint="eastAsia"/>
          <w:sz w:val="24"/>
          <w:lang w:val="en-US" w:eastAsia="zh-CN"/>
        </w:rPr>
        <w:t xml:space="preserve">2. </w:t>
      </w:r>
      <w:r>
        <w:rPr>
          <w:rFonts w:hint="eastAsia"/>
          <w:sz w:val="24"/>
        </w:rPr>
        <w:t>1000rpm离心3-5min，去掉上清。用</w:t>
      </w:r>
      <w:r>
        <w:rPr>
          <w:rFonts w:hint="eastAsia"/>
          <w:sz w:val="24"/>
          <w:szCs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color w:val="000000"/>
          <w:sz w:val="24"/>
          <w:szCs w:val="24"/>
        </w:rPr>
      </w:pPr>
    </w:p>
    <w:bookmarkEnd w:id="1"/>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jc w:val="left"/>
        <w:rPr>
          <w:rFonts w:hint="eastAsia"/>
          <w:sz w:val="22"/>
          <w:szCs w:val="24"/>
        </w:rPr>
      </w:pPr>
    </w:p>
    <w:p>
      <w:pPr>
        <w:jc w:val="left"/>
        <w:rPr>
          <w:sz w:val="22"/>
          <w:szCs w:val="24"/>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5138F"/>
    <w:multiLevelType w:val="singleLevel"/>
    <w:tmpl w:val="9F95138F"/>
    <w:lvl w:ilvl="0" w:tentative="0">
      <w:start w:val="5"/>
      <w:numFmt w:val="decimal"/>
      <w:suff w:val="space"/>
      <w:lvlText w:val="%1)"/>
      <w:lvlJc w:val="left"/>
    </w:lvl>
  </w:abstractNum>
  <w:abstractNum w:abstractNumId="1">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3A943B4"/>
    <w:rsid w:val="227F2564"/>
    <w:rsid w:val="247B7E84"/>
    <w:rsid w:val="2A0C6D6A"/>
    <w:rsid w:val="2FDF765A"/>
    <w:rsid w:val="313D17D8"/>
    <w:rsid w:val="399B6E24"/>
    <w:rsid w:val="3A7B453B"/>
    <w:rsid w:val="3F3B6D04"/>
    <w:rsid w:val="3F583FA9"/>
    <w:rsid w:val="3FCB6D47"/>
    <w:rsid w:val="47410A32"/>
    <w:rsid w:val="48895562"/>
    <w:rsid w:val="4F1166FD"/>
    <w:rsid w:val="52936C3A"/>
    <w:rsid w:val="5949320E"/>
    <w:rsid w:val="5A646B5B"/>
    <w:rsid w:val="5C001E95"/>
    <w:rsid w:val="6B820395"/>
    <w:rsid w:val="71DE17FA"/>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1597</Words>
  <Characters>1801</Characters>
  <Lines>0</Lines>
  <Paragraphs>0</Paragraphs>
  <TotalTime>3</TotalTime>
  <ScaleCrop>false</ScaleCrop>
  <LinksUpToDate>false</LinksUpToDate>
  <CharactersWithSpaces>1853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2023-08-23T04:00:00Z</cp:lastPrinted>
  <dcterms:modified xsi:type="dcterms:W3CDTF">2023-11-05T06:31:18Z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39F75A35D02F4AE1B578C8346252EE77_13</vt:lpwstr>
  </property>
</Properties>
</file>